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11149"/>
        <w:gridCol w:w="2643"/>
      </w:tblGrid>
      <w:tr w:rsidR="00D90CAB" w14:paraId="1FC89B9C" w14:textId="77777777" w:rsidTr="00D90CAB">
        <w:trPr>
          <w:trHeight w:val="807"/>
        </w:trPr>
        <w:tc>
          <w:tcPr>
            <w:tcW w:w="1916" w:type="dxa"/>
          </w:tcPr>
          <w:p w14:paraId="00673F2C" w14:textId="74D55871" w:rsidR="008B72C3" w:rsidRDefault="00471C9A" w:rsidP="003A7A64">
            <w:pPr>
              <w:jc w:val="right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AA476A" wp14:editId="35216561">
                      <wp:simplePos x="0" y="0"/>
                      <wp:positionH relativeFrom="margin">
                        <wp:posOffset>-76200</wp:posOffset>
                      </wp:positionH>
                      <wp:positionV relativeFrom="paragraph">
                        <wp:posOffset>173355</wp:posOffset>
                      </wp:positionV>
                      <wp:extent cx="9315450" cy="4095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54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0F0AF3" w14:textId="5A592A18" w:rsidR="00471C9A" w:rsidRPr="00694956" w:rsidRDefault="00933EAC" w:rsidP="00471C9A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YEAR </w:t>
                                  </w:r>
                                  <w:r w:rsidR="000D5F22">
                                    <w:rPr>
                                      <w:b/>
                                      <w:sz w:val="32"/>
                                    </w:rPr>
                                    <w:t>10 (F)</w:t>
                                  </w:r>
                                  <w:r w:rsidR="005D2DFB"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CURRICULUM </w:t>
                                  </w:r>
                                  <w:r w:rsidR="00320FB0">
                                    <w:rPr>
                                      <w:b/>
                                      <w:sz w:val="32"/>
                                    </w:rPr>
                                    <w:t>MEDIUM TERM PLAN - MATHS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A476A" id="Rectangle 1" o:spid="_x0000_s1026" style="position:absolute;left:0;text-align:left;margin-left:-6pt;margin-top:13.65pt;width:733.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" fillcolor="#002060" strokecolor="#1f4d78 [1604]" strokeweight="1pt">
                      <v:textbox>
                        <w:txbxContent>
                          <w:p w14:paraId="080F0AF3" w14:textId="5A592A18" w:rsidR="00471C9A" w:rsidRPr="00694956" w:rsidRDefault="00933EAC" w:rsidP="00471C9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YEAR </w:t>
                            </w:r>
                            <w:r w:rsidR="000D5F22">
                              <w:rPr>
                                <w:b/>
                                <w:sz w:val="32"/>
                              </w:rPr>
                              <w:t>10 (F)</w:t>
                            </w:r>
                            <w:r w:rsidR="005D2DF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CURRICULUM </w:t>
                            </w:r>
                            <w:r w:rsidR="00320FB0">
                              <w:rPr>
                                <w:b/>
                                <w:sz w:val="32"/>
                              </w:rPr>
                              <w:t>MEDIUM TERM PLAN - MATHS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72A6659" w14:textId="77777777" w:rsidR="00D90CAB" w:rsidRDefault="00D90CAB" w:rsidP="008B72C3">
            <w:pPr>
              <w:rPr>
                <w:b/>
              </w:rPr>
            </w:pPr>
          </w:p>
          <w:p w14:paraId="0A37501D" w14:textId="77777777" w:rsidR="00D90CAB" w:rsidRDefault="00D90CAB" w:rsidP="008B72C3">
            <w:pPr>
              <w:rPr>
                <w:b/>
              </w:rPr>
            </w:pPr>
          </w:p>
          <w:p w14:paraId="5DAB6C7B" w14:textId="77777777" w:rsidR="00D90CAB" w:rsidRDefault="00D90CAB" w:rsidP="008B72C3">
            <w:pPr>
              <w:rPr>
                <w:b/>
              </w:rPr>
            </w:pPr>
          </w:p>
        </w:tc>
        <w:tc>
          <w:tcPr>
            <w:tcW w:w="11149" w:type="dxa"/>
          </w:tcPr>
          <w:p w14:paraId="02EB378F" w14:textId="77777777" w:rsidR="00D90CAB" w:rsidRDefault="00D90CAB" w:rsidP="008B72C3">
            <w:pPr>
              <w:rPr>
                <w:b/>
              </w:rPr>
            </w:pPr>
          </w:p>
        </w:tc>
        <w:tc>
          <w:tcPr>
            <w:tcW w:w="2643" w:type="dxa"/>
          </w:tcPr>
          <w:p w14:paraId="6A05A809" w14:textId="7A221B8F" w:rsidR="00D90CAB" w:rsidRDefault="00D90CAB" w:rsidP="008B72C3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85888" behindDoc="0" locked="0" layoutInCell="1" allowOverlap="1" wp14:anchorId="09883F1A" wp14:editId="2A078055">
                  <wp:simplePos x="0" y="0"/>
                  <wp:positionH relativeFrom="column">
                    <wp:posOffset>1076325</wp:posOffset>
                  </wp:positionH>
                  <wp:positionV relativeFrom="paragraph">
                    <wp:posOffset>174625</wp:posOffset>
                  </wp:positionV>
                  <wp:extent cx="379562" cy="394182"/>
                  <wp:effectExtent l="0" t="0" r="1905" b="6350"/>
                  <wp:wrapNone/>
                  <wp:docPr id="207" name="Picture 207" descr="red rose badg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 rose badg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2" cy="39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0CAB" w:rsidRPr="00694956" w14:paraId="72A3D3EC" w14:textId="77777777" w:rsidTr="00D90CAB">
        <w:trPr>
          <w:trHeight w:val="12"/>
        </w:trPr>
        <w:tc>
          <w:tcPr>
            <w:tcW w:w="1916" w:type="dxa"/>
            <w:tcBorders>
              <w:bottom w:val="single" w:sz="4" w:space="0" w:color="auto"/>
            </w:tcBorders>
          </w:tcPr>
          <w:p w14:paraId="0D0B940D" w14:textId="77777777" w:rsidR="00D90CAB" w:rsidRPr="00694956" w:rsidRDefault="00D90CAB" w:rsidP="008B72C3">
            <w:pPr>
              <w:rPr>
                <w:b/>
                <w:sz w:val="2"/>
              </w:rPr>
            </w:pPr>
          </w:p>
        </w:tc>
        <w:tc>
          <w:tcPr>
            <w:tcW w:w="11149" w:type="dxa"/>
            <w:tcBorders>
              <w:bottom w:val="single" w:sz="4" w:space="0" w:color="auto"/>
            </w:tcBorders>
          </w:tcPr>
          <w:p w14:paraId="0E27B00A" w14:textId="77777777" w:rsidR="00D90CAB" w:rsidRPr="00694956" w:rsidRDefault="00D90CAB" w:rsidP="008B72C3">
            <w:pPr>
              <w:rPr>
                <w:b/>
                <w:sz w:val="2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14:paraId="60061E4C" w14:textId="77777777" w:rsidR="00D90CAB" w:rsidRPr="00694956" w:rsidRDefault="00D90CAB" w:rsidP="008B72C3">
            <w:pPr>
              <w:rPr>
                <w:b/>
                <w:sz w:val="2"/>
              </w:rPr>
            </w:pPr>
          </w:p>
        </w:tc>
      </w:tr>
      <w:tr w:rsidR="00D90CAB" w14:paraId="0410E4ED" w14:textId="77777777" w:rsidTr="00D90CAB">
        <w:trPr>
          <w:trHeight w:val="268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5B984" w14:textId="77777777" w:rsidR="00D90CAB" w:rsidRPr="000E3D19" w:rsidRDefault="00D90CAB" w:rsidP="008B72C3">
            <w:pPr>
              <w:rPr>
                <w:b/>
                <w:color w:val="FFFFFF" w:themeColor="background1"/>
              </w:rPr>
            </w:pPr>
            <w:r w:rsidRPr="000E3D19">
              <w:rPr>
                <w:b/>
                <w:color w:val="FFFFFF" w:themeColor="background1"/>
              </w:rPr>
              <w:t>TOPIC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1B4B05" w14:textId="71D86E31" w:rsidR="00D90CAB" w:rsidRPr="000E3D19" w:rsidRDefault="00D90CAB" w:rsidP="008B72C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KEY LEARNING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6A7241" w14:textId="067AF7C7" w:rsidR="00D90CAB" w:rsidRPr="000E3D19" w:rsidRDefault="00D90CAB" w:rsidP="008B72C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ASSESSMENT</w:t>
            </w:r>
          </w:p>
        </w:tc>
      </w:tr>
      <w:tr w:rsidR="00D90CAB" w:rsidRPr="000B576A" w14:paraId="481433AE" w14:textId="77777777" w:rsidTr="00D90CAB">
        <w:trPr>
          <w:trHeight w:val="15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46BA" w14:textId="599A8616" w:rsidR="00D90CAB" w:rsidRDefault="00A13A81" w:rsidP="005D2D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HT 1:</w:t>
            </w:r>
            <w:r w:rsidR="003A0684">
              <w:rPr>
                <w:rFonts w:cstheme="minorHAnsi"/>
                <w:sz w:val="20"/>
                <w:szCs w:val="20"/>
              </w:rPr>
              <w:t xml:space="preserve"> Indices &amp; Standard Form</w:t>
            </w:r>
          </w:p>
          <w:p w14:paraId="0CA81FD4" w14:textId="77777777" w:rsidR="00A13A81" w:rsidRDefault="00A13A81" w:rsidP="005D2DF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2A754FC" w14:textId="7D4630DC" w:rsidR="00A13A81" w:rsidRPr="000B576A" w:rsidRDefault="00A13A81" w:rsidP="005D2DF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HT</w:t>
            </w:r>
            <w:r w:rsidR="00F3023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1: </w:t>
            </w:r>
            <w:r w:rsidR="003A0684">
              <w:rPr>
                <w:rFonts w:cstheme="minorHAnsi"/>
                <w:sz w:val="20"/>
                <w:szCs w:val="20"/>
              </w:rPr>
              <w:t>Algebraic Expressions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2662" w14:textId="77777777" w:rsidR="00A13A81" w:rsidRDefault="003A0684" w:rsidP="003A06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Review of negative numbers. Using powers and roots. Laws of indices. Negative indices. Reciprocals. Multiplying and dividing by powers of 10. Using and calculating with standard form. </w:t>
            </w:r>
          </w:p>
          <w:p w14:paraId="763AEBC2" w14:textId="77777777" w:rsidR="003A0684" w:rsidRDefault="003A0684" w:rsidP="003A068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9F31CB" w14:textId="4C5D8607" w:rsidR="003A0684" w:rsidRPr="000B576A" w:rsidRDefault="003A0684" w:rsidP="003A06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and writing algebraic expressions, formulae and equations. Simplifying expressions by collecting multiplying and dividing terms. Applying laws of indices to algebraic terms.</w:t>
            </w:r>
            <w:r w:rsidR="00B77E15">
              <w:rPr>
                <w:rFonts w:cstheme="minorHAnsi"/>
                <w:sz w:val="20"/>
                <w:szCs w:val="20"/>
              </w:rPr>
              <w:t xml:space="preserve"> Expanding single brackets and Factorising single brackets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EA35" w14:textId="77777777" w:rsidR="00A13A81" w:rsidRPr="00A13A81" w:rsidRDefault="00A13A81" w:rsidP="00A13A81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 xml:space="preserve">Assessment on: </w:t>
            </w:r>
          </w:p>
          <w:p w14:paraId="47343BFA" w14:textId="77777777" w:rsidR="003A0684" w:rsidRDefault="003A0684" w:rsidP="003A06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Indices &amp; Standard Form</w:t>
            </w:r>
          </w:p>
          <w:p w14:paraId="39EDB53F" w14:textId="77777777" w:rsidR="003A0684" w:rsidRDefault="003A0684" w:rsidP="003A068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7D14947" w14:textId="78752CAD" w:rsidR="00D90CAB" w:rsidRPr="000B576A" w:rsidRDefault="003A0684" w:rsidP="003A06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>Algebraic Expressions</w:t>
            </w:r>
          </w:p>
        </w:tc>
      </w:tr>
      <w:tr w:rsidR="00D90CAB" w:rsidRPr="000B576A" w14:paraId="7C12C5E1" w14:textId="77777777" w:rsidTr="00D90CAB">
        <w:trPr>
          <w:trHeight w:val="15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41E9" w14:textId="364FAB6A" w:rsidR="00A13A81" w:rsidRDefault="00A13A81" w:rsidP="00A13A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 2: </w:t>
            </w:r>
            <w:r w:rsidR="003A0684">
              <w:rPr>
                <w:rFonts w:cstheme="minorHAnsi"/>
                <w:sz w:val="20"/>
                <w:szCs w:val="20"/>
              </w:rPr>
              <w:t>Percentages Calculator Methods</w:t>
            </w:r>
          </w:p>
          <w:p w14:paraId="3AB44529" w14:textId="77777777" w:rsidR="00A13A81" w:rsidRDefault="00A13A81" w:rsidP="00A13A8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9CD196" w14:textId="62CD67D6" w:rsidR="00D90CAB" w:rsidRPr="000B576A" w:rsidRDefault="00A13A81" w:rsidP="00A13A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HT</w:t>
            </w:r>
            <w:r w:rsidR="00F3023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2: </w:t>
            </w:r>
            <w:r w:rsidR="003A0684">
              <w:rPr>
                <w:rFonts w:cstheme="minorHAnsi"/>
                <w:sz w:val="20"/>
                <w:szCs w:val="20"/>
              </w:rPr>
              <w:t>Averages Range &amp; Presenting Data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500B" w14:textId="0358CD04" w:rsidR="00146830" w:rsidRDefault="00345059" w:rsidP="003A06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Convert between FDP. Find percentages of amounts. Find percentage change. Finding percentage changed. Finding percentage profit and loss. Reverse percentage increase and decrease. Successive percentage change. Simple interest. Compound interest.</w:t>
            </w:r>
          </w:p>
          <w:p w14:paraId="549F8176" w14:textId="77777777" w:rsidR="00345059" w:rsidRDefault="00345059" w:rsidP="00295C9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F2D8B6" w14:textId="6D51A0DD" w:rsidR="00345059" w:rsidRPr="000B576A" w:rsidRDefault="00345059" w:rsidP="00295C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 averages and range. Stem &amp; leaf diagrams. Pictograms and Bar charts. Averages from frequency tables.</w:t>
            </w:r>
            <w:r w:rsidR="00295C96">
              <w:rPr>
                <w:rFonts w:cstheme="minorHAnsi"/>
                <w:sz w:val="20"/>
                <w:szCs w:val="20"/>
              </w:rPr>
              <w:t xml:space="preserve"> Averages and grouped data. Frequency polygons. Interpret frequency tables. Estimate of the mean.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6AD5" w14:textId="77777777" w:rsidR="00146830" w:rsidRPr="00A13A81" w:rsidRDefault="00146830" w:rsidP="00146830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 xml:space="preserve">Assessment on: </w:t>
            </w:r>
          </w:p>
          <w:p w14:paraId="00A123B2" w14:textId="77777777" w:rsidR="003A0684" w:rsidRDefault="003A0684" w:rsidP="003A06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Percentages Calculator Methods</w:t>
            </w:r>
          </w:p>
          <w:p w14:paraId="40E322D4" w14:textId="77777777" w:rsidR="003A0684" w:rsidRDefault="003A0684" w:rsidP="003A068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E97551E" w14:textId="7DFC59C8" w:rsidR="00D90CAB" w:rsidRPr="000B576A" w:rsidRDefault="003A0684" w:rsidP="003A06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Averages Range &amp; Presenting Data</w:t>
            </w:r>
          </w:p>
        </w:tc>
      </w:tr>
      <w:tr w:rsidR="00D90CAB" w:rsidRPr="000B576A" w14:paraId="42F80F79" w14:textId="77777777" w:rsidTr="00D90CAB">
        <w:trPr>
          <w:trHeight w:val="15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B6CA" w14:textId="250BC6AA" w:rsidR="00D90CAB" w:rsidRDefault="00F30231" w:rsidP="00F302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 3: </w:t>
            </w:r>
            <w:r w:rsidR="003A0684">
              <w:rPr>
                <w:rFonts w:cstheme="minorHAnsi"/>
                <w:sz w:val="20"/>
                <w:szCs w:val="20"/>
              </w:rPr>
              <w:t>Substitution Formulae &amp; Equations</w:t>
            </w:r>
          </w:p>
          <w:p w14:paraId="0E40A591" w14:textId="77777777" w:rsidR="00F30231" w:rsidRDefault="00F30231" w:rsidP="00F3023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4FCACE" w14:textId="12DD38D2" w:rsidR="00F30231" w:rsidRPr="000B576A" w:rsidRDefault="00F30231" w:rsidP="00F302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HT3: </w:t>
            </w:r>
            <w:r w:rsidR="003A0684">
              <w:rPr>
                <w:rFonts w:cstheme="minorHAnsi"/>
                <w:sz w:val="20"/>
                <w:szCs w:val="20"/>
              </w:rPr>
              <w:t>Factors Multiples &amp; Primes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1A65" w14:textId="77777777" w:rsidR="00C9691C" w:rsidRDefault="00295C96" w:rsidP="003A06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function machines including with algebraic expressions. Substitution. Solving equations, one step, two step and multi-step. Solving simultaneous equations.</w:t>
            </w:r>
          </w:p>
          <w:p w14:paraId="734140DF" w14:textId="77777777" w:rsidR="00295C96" w:rsidRDefault="00295C96" w:rsidP="003A068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97CC1D" w14:textId="51D6CFD9" w:rsidR="00295C96" w:rsidRPr="000B576A" w:rsidRDefault="00295C96" w:rsidP="003A06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factors, multiples and prime numbers. Find LCM and HCF of two numbers. Prime factorisation. Use Prime factors of two numbers.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2FB8" w14:textId="77777777" w:rsidR="00EC320D" w:rsidRPr="00A13A81" w:rsidRDefault="00EC320D" w:rsidP="00EC320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 xml:space="preserve">Assessment on: </w:t>
            </w:r>
          </w:p>
          <w:p w14:paraId="4DB40902" w14:textId="77777777" w:rsidR="003A0684" w:rsidRDefault="003A0684" w:rsidP="003A06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Substitution Formulae &amp; Equations</w:t>
            </w:r>
          </w:p>
          <w:p w14:paraId="0ECA6B1F" w14:textId="77777777" w:rsidR="003A0684" w:rsidRDefault="003A0684" w:rsidP="003A068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699379" w14:textId="20D5D87B" w:rsidR="00EC320D" w:rsidRPr="000B576A" w:rsidRDefault="003A0684" w:rsidP="003A06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Factors Multiples &amp; Primes</w:t>
            </w:r>
          </w:p>
        </w:tc>
      </w:tr>
      <w:tr w:rsidR="00D90CAB" w:rsidRPr="000B576A" w14:paraId="5A8F7307" w14:textId="77777777" w:rsidTr="00C9691C">
        <w:trPr>
          <w:trHeight w:val="1016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75B6" w14:textId="0B6F32E5" w:rsidR="00D90CAB" w:rsidRPr="000B576A" w:rsidRDefault="00C9691C" w:rsidP="00D90C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HT4: </w:t>
            </w:r>
            <w:r w:rsidR="003A0684">
              <w:rPr>
                <w:rFonts w:cstheme="minorHAnsi"/>
                <w:sz w:val="20"/>
                <w:szCs w:val="20"/>
              </w:rPr>
              <w:t>Rearranging Formulae &amp; Sequences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CF90" w14:textId="77777777" w:rsidR="00E33B1B" w:rsidRDefault="00295C96" w:rsidP="003A06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Rearranging formulae. Fin</w:t>
            </w:r>
            <w:r w:rsidR="00E33B1B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 xml:space="preserve">ing </w:t>
            </w:r>
            <w:r w:rsidR="00E33B1B">
              <w:rPr>
                <w:rFonts w:cstheme="minorHAnsi"/>
                <w:sz w:val="20"/>
                <w:szCs w:val="20"/>
              </w:rPr>
              <w:t xml:space="preserve">missing </w:t>
            </w:r>
            <w:r>
              <w:rPr>
                <w:rFonts w:cstheme="minorHAnsi"/>
                <w:sz w:val="20"/>
                <w:szCs w:val="20"/>
              </w:rPr>
              <w:t>terms in sequences</w:t>
            </w:r>
            <w:r w:rsidR="00E33B1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33B1B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dentify rules for </w:t>
            </w:r>
            <w:r w:rsidR="00E33B1B">
              <w:rPr>
                <w:rFonts w:cstheme="minorHAnsi"/>
                <w:sz w:val="20"/>
                <w:szCs w:val="20"/>
              </w:rPr>
              <w:t xml:space="preserve">arithmetic, geometric and Fibonacci </w:t>
            </w:r>
            <w:r>
              <w:rPr>
                <w:rFonts w:cstheme="minorHAnsi"/>
                <w:sz w:val="20"/>
                <w:szCs w:val="20"/>
              </w:rPr>
              <w:t xml:space="preserve">sequences. </w:t>
            </w:r>
          </w:p>
          <w:p w14:paraId="07547A01" w14:textId="586CBD87" w:rsidR="00D90CAB" w:rsidRPr="000B576A" w:rsidRDefault="00295C96" w:rsidP="003A06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Find nth term rule for arithmetic sequences.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012C" w14:textId="32CD04CF" w:rsidR="00EC320D" w:rsidRDefault="00EC320D" w:rsidP="00EC320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 xml:space="preserve">Assessment on: </w:t>
            </w:r>
          </w:p>
          <w:p w14:paraId="5043CB0F" w14:textId="42ED9184" w:rsidR="00D90CAB" w:rsidRPr="000B576A" w:rsidRDefault="003A0684" w:rsidP="00AC6ED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Rearranging Formulae &amp; Sequences</w:t>
            </w:r>
          </w:p>
        </w:tc>
      </w:tr>
      <w:tr w:rsidR="00D90CAB" w:rsidRPr="000B576A" w14:paraId="047AF407" w14:textId="77777777" w:rsidTr="00D90CAB">
        <w:trPr>
          <w:trHeight w:val="15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F791" w14:textId="4FA636EC" w:rsidR="00D90CAB" w:rsidRDefault="00C9691C" w:rsidP="00C969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 5: </w:t>
            </w:r>
            <w:r w:rsidR="003A0684">
              <w:rPr>
                <w:rFonts w:cstheme="minorHAnsi"/>
                <w:sz w:val="20"/>
                <w:szCs w:val="20"/>
              </w:rPr>
              <w:t>Coordinate Geometry &amp; Linear Graphs</w:t>
            </w:r>
          </w:p>
          <w:p w14:paraId="3AE7E0E3" w14:textId="6CAB4229" w:rsidR="00C9691C" w:rsidRDefault="00C9691C" w:rsidP="00C9691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1BF250" w14:textId="04AFE86C" w:rsidR="00C9691C" w:rsidRPr="000B576A" w:rsidRDefault="00C9691C" w:rsidP="003A06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E21E" w14:textId="77777777" w:rsidR="00E33B1B" w:rsidRDefault="00E33B1B" w:rsidP="003A06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Plot coordinates. Recognise basic straight lines. Find midpoints of line segments. Find gradients and intercepts of straight lines.</w:t>
            </w:r>
          </w:p>
          <w:p w14:paraId="144A5D23" w14:textId="470931D6" w:rsidR="00D5567E" w:rsidRPr="000B576A" w:rsidRDefault="00E33B1B" w:rsidP="003A06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Plot linear graphs in the form y=</w:t>
            </w:r>
            <w:proofErr w:type="spellStart"/>
            <w:r>
              <w:rPr>
                <w:rFonts w:cstheme="minorHAnsi"/>
                <w:sz w:val="20"/>
                <w:szCs w:val="20"/>
              </w:rPr>
              <w:t>mx+c</w:t>
            </w:r>
            <w:proofErr w:type="spellEnd"/>
            <w:r>
              <w:rPr>
                <w:rFonts w:cstheme="minorHAnsi"/>
                <w:sz w:val="20"/>
                <w:szCs w:val="20"/>
              </w:rPr>
              <w:t>. Identify parallel lines by comparing gradients.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870E" w14:textId="77777777" w:rsidR="00EC320D" w:rsidRDefault="00EC320D" w:rsidP="00EC320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>Assessment on:</w:t>
            </w:r>
          </w:p>
          <w:p w14:paraId="738610EB" w14:textId="01BF5F67" w:rsidR="00D90CAB" w:rsidRPr="000B576A" w:rsidRDefault="003A0684" w:rsidP="00AC6ED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Coordinate Geometry &amp; Linear Graphs</w:t>
            </w:r>
          </w:p>
        </w:tc>
      </w:tr>
      <w:tr w:rsidR="00D90CAB" w:rsidRPr="000B576A" w14:paraId="3B928F89" w14:textId="77777777" w:rsidTr="00D90CAB">
        <w:trPr>
          <w:trHeight w:val="150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0A1" w14:textId="613C3255" w:rsidR="00D90CAB" w:rsidRPr="000B576A" w:rsidRDefault="00C9691C" w:rsidP="00D90C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HT6: </w:t>
            </w:r>
            <w:r w:rsidR="003A0684">
              <w:rPr>
                <w:rFonts w:cstheme="minorHAnsi"/>
                <w:sz w:val="20"/>
                <w:szCs w:val="20"/>
              </w:rPr>
              <w:t>Speed Distance &amp; Time</w:t>
            </w:r>
          </w:p>
        </w:tc>
        <w:tc>
          <w:tcPr>
            <w:tcW w:w="1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5065" w14:textId="3BF64168" w:rsidR="00D90CAB" w:rsidRPr="000B576A" w:rsidRDefault="00E33B1B" w:rsidP="003A06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conversions of time</w:t>
            </w:r>
            <w:r w:rsidR="00D5567E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Work with time intervals. Interpret real life timetables.  Find speed, distance and time including for multipart journeys. Interpret distance time graphs and work out speeds from these graphs.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18A4" w14:textId="77777777" w:rsidR="00EC320D" w:rsidRPr="00A13A81" w:rsidRDefault="00EC320D" w:rsidP="00EC320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A13A81">
              <w:rPr>
                <w:rFonts w:cstheme="minorHAnsi"/>
                <w:sz w:val="20"/>
                <w:szCs w:val="20"/>
                <w:u w:val="single"/>
              </w:rPr>
              <w:t xml:space="preserve">Assessment on: </w:t>
            </w:r>
          </w:p>
          <w:p w14:paraId="0B971FB7" w14:textId="5095E31B" w:rsidR="00D90CAB" w:rsidRPr="000B576A" w:rsidRDefault="003A0684" w:rsidP="00D90CA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Speed Distance &amp; Time</w:t>
            </w:r>
          </w:p>
        </w:tc>
      </w:tr>
    </w:tbl>
    <w:p w14:paraId="42C6D796" w14:textId="77777777" w:rsidR="008B72C3" w:rsidRPr="000B576A" w:rsidRDefault="008B72C3" w:rsidP="00902ACA">
      <w:pPr>
        <w:spacing w:after="0"/>
        <w:rPr>
          <w:sz w:val="18"/>
          <w:szCs w:val="18"/>
        </w:rPr>
      </w:pPr>
    </w:p>
    <w:sectPr w:rsidR="008B72C3" w:rsidRPr="000B576A" w:rsidSect="008837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644"/>
    <w:multiLevelType w:val="hybridMultilevel"/>
    <w:tmpl w:val="FF6A5210"/>
    <w:lvl w:ilvl="0" w:tplc="C0FE7F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3789"/>
    <w:multiLevelType w:val="hybridMultilevel"/>
    <w:tmpl w:val="59DCD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63E3"/>
    <w:multiLevelType w:val="hybridMultilevel"/>
    <w:tmpl w:val="F744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2034"/>
    <w:multiLevelType w:val="hybridMultilevel"/>
    <w:tmpl w:val="4448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6053"/>
    <w:multiLevelType w:val="hybridMultilevel"/>
    <w:tmpl w:val="685C2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43BA9"/>
    <w:multiLevelType w:val="hybridMultilevel"/>
    <w:tmpl w:val="F4E6A598"/>
    <w:lvl w:ilvl="0" w:tplc="41828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21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C5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CB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4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8D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63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AA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8D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4339C3"/>
    <w:multiLevelType w:val="hybridMultilevel"/>
    <w:tmpl w:val="402C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4B3C"/>
    <w:multiLevelType w:val="hybridMultilevel"/>
    <w:tmpl w:val="12D24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40F21"/>
    <w:multiLevelType w:val="hybridMultilevel"/>
    <w:tmpl w:val="77AA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E5C6E"/>
    <w:multiLevelType w:val="hybridMultilevel"/>
    <w:tmpl w:val="E2C2E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91401">
    <w:abstractNumId w:val="4"/>
  </w:num>
  <w:num w:numId="2" w16cid:durableId="2136826816">
    <w:abstractNumId w:val="1"/>
  </w:num>
  <w:num w:numId="3" w16cid:durableId="36056176">
    <w:abstractNumId w:val="5"/>
  </w:num>
  <w:num w:numId="4" w16cid:durableId="829373932">
    <w:abstractNumId w:val="0"/>
  </w:num>
  <w:num w:numId="5" w16cid:durableId="321739206">
    <w:abstractNumId w:val="2"/>
  </w:num>
  <w:num w:numId="6" w16cid:durableId="210775873">
    <w:abstractNumId w:val="9"/>
  </w:num>
  <w:num w:numId="7" w16cid:durableId="663895421">
    <w:abstractNumId w:val="3"/>
  </w:num>
  <w:num w:numId="8" w16cid:durableId="206531430">
    <w:abstractNumId w:val="8"/>
  </w:num>
  <w:num w:numId="9" w16cid:durableId="201286504">
    <w:abstractNumId w:val="6"/>
  </w:num>
  <w:num w:numId="10" w16cid:durableId="1833135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06"/>
    <w:rsid w:val="000270A2"/>
    <w:rsid w:val="000B576A"/>
    <w:rsid w:val="000C5171"/>
    <w:rsid w:val="000D5F22"/>
    <w:rsid w:val="000E3D19"/>
    <w:rsid w:val="00113B5C"/>
    <w:rsid w:val="00145D4B"/>
    <w:rsid w:val="00146830"/>
    <w:rsid w:val="00157EC2"/>
    <w:rsid w:val="0017145B"/>
    <w:rsid w:val="001C39FF"/>
    <w:rsid w:val="001C51CB"/>
    <w:rsid w:val="00233620"/>
    <w:rsid w:val="0023689E"/>
    <w:rsid w:val="00265749"/>
    <w:rsid w:val="002806EC"/>
    <w:rsid w:val="002819B5"/>
    <w:rsid w:val="00295C96"/>
    <w:rsid w:val="002A7708"/>
    <w:rsid w:val="002C3EE7"/>
    <w:rsid w:val="00320FB0"/>
    <w:rsid w:val="00345059"/>
    <w:rsid w:val="003A0684"/>
    <w:rsid w:val="003A7923"/>
    <w:rsid w:val="003A7A64"/>
    <w:rsid w:val="00422A47"/>
    <w:rsid w:val="0044307C"/>
    <w:rsid w:val="00471C9A"/>
    <w:rsid w:val="004A6A9F"/>
    <w:rsid w:val="004D4784"/>
    <w:rsid w:val="00505D65"/>
    <w:rsid w:val="00527D87"/>
    <w:rsid w:val="00544C05"/>
    <w:rsid w:val="00550626"/>
    <w:rsid w:val="0056791D"/>
    <w:rsid w:val="00585071"/>
    <w:rsid w:val="005938D1"/>
    <w:rsid w:val="005D2DFB"/>
    <w:rsid w:val="005D71FF"/>
    <w:rsid w:val="005E3EEB"/>
    <w:rsid w:val="00614498"/>
    <w:rsid w:val="00626FE9"/>
    <w:rsid w:val="0066236E"/>
    <w:rsid w:val="00694956"/>
    <w:rsid w:val="00696BB7"/>
    <w:rsid w:val="006B68D5"/>
    <w:rsid w:val="006C30F9"/>
    <w:rsid w:val="006E1313"/>
    <w:rsid w:val="006E798E"/>
    <w:rsid w:val="007058AD"/>
    <w:rsid w:val="00764829"/>
    <w:rsid w:val="007F545A"/>
    <w:rsid w:val="00843C5A"/>
    <w:rsid w:val="00874D36"/>
    <w:rsid w:val="00883706"/>
    <w:rsid w:val="008B72C3"/>
    <w:rsid w:val="008D6A03"/>
    <w:rsid w:val="00902ACA"/>
    <w:rsid w:val="00923923"/>
    <w:rsid w:val="00933EAC"/>
    <w:rsid w:val="009550AF"/>
    <w:rsid w:val="009A22FD"/>
    <w:rsid w:val="009D1F8F"/>
    <w:rsid w:val="009E03EB"/>
    <w:rsid w:val="009E7C07"/>
    <w:rsid w:val="00A13A81"/>
    <w:rsid w:val="00A2374D"/>
    <w:rsid w:val="00A61E56"/>
    <w:rsid w:val="00A84E8D"/>
    <w:rsid w:val="00AC6ED2"/>
    <w:rsid w:val="00AE4E4B"/>
    <w:rsid w:val="00AF48EE"/>
    <w:rsid w:val="00B10F24"/>
    <w:rsid w:val="00B77E15"/>
    <w:rsid w:val="00B87C62"/>
    <w:rsid w:val="00B92D26"/>
    <w:rsid w:val="00B94DDB"/>
    <w:rsid w:val="00C03973"/>
    <w:rsid w:val="00C12485"/>
    <w:rsid w:val="00C65269"/>
    <w:rsid w:val="00C74738"/>
    <w:rsid w:val="00C9691C"/>
    <w:rsid w:val="00CA342B"/>
    <w:rsid w:val="00CC23E0"/>
    <w:rsid w:val="00CD4745"/>
    <w:rsid w:val="00CE2389"/>
    <w:rsid w:val="00CF0307"/>
    <w:rsid w:val="00CF25BD"/>
    <w:rsid w:val="00CF69B2"/>
    <w:rsid w:val="00D33E27"/>
    <w:rsid w:val="00D5567E"/>
    <w:rsid w:val="00D90CAB"/>
    <w:rsid w:val="00D93EDC"/>
    <w:rsid w:val="00DA1044"/>
    <w:rsid w:val="00DA30F0"/>
    <w:rsid w:val="00DC1553"/>
    <w:rsid w:val="00DE01C7"/>
    <w:rsid w:val="00E139C7"/>
    <w:rsid w:val="00E33B1B"/>
    <w:rsid w:val="00E41912"/>
    <w:rsid w:val="00E51ABD"/>
    <w:rsid w:val="00E556B9"/>
    <w:rsid w:val="00EA323F"/>
    <w:rsid w:val="00EB77BB"/>
    <w:rsid w:val="00EC2E0A"/>
    <w:rsid w:val="00EC320D"/>
    <w:rsid w:val="00ED1A0C"/>
    <w:rsid w:val="00F30231"/>
    <w:rsid w:val="00F32816"/>
    <w:rsid w:val="00F72672"/>
    <w:rsid w:val="00F901EE"/>
    <w:rsid w:val="00F97FA4"/>
    <w:rsid w:val="00FE4137"/>
    <w:rsid w:val="00FE58F7"/>
    <w:rsid w:val="00FE7B13"/>
    <w:rsid w:val="264DD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48B2"/>
  <w15:chartTrackingRefBased/>
  <w15:docId w15:val="{4F1C7B12-5165-4A0E-85E9-3EC3C68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706"/>
    <w:pPr>
      <w:ind w:left="720"/>
      <w:contextualSpacing/>
    </w:pPr>
  </w:style>
  <w:style w:type="table" w:styleId="TableGrid">
    <w:name w:val="Table Grid"/>
    <w:basedOn w:val="TableNormal"/>
    <w:uiPriority w:val="39"/>
    <w:rsid w:val="0066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28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61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EA16-1E63-4FF4-803B-3A4647FF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Bede's Catholic High School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Kelly</dc:creator>
  <cp:keywords/>
  <dc:description/>
  <cp:lastModifiedBy>YOUDE, Mr D</cp:lastModifiedBy>
  <cp:revision>2</cp:revision>
  <cp:lastPrinted>2020-01-22T14:08:00Z</cp:lastPrinted>
  <dcterms:created xsi:type="dcterms:W3CDTF">2025-01-23T18:09:00Z</dcterms:created>
  <dcterms:modified xsi:type="dcterms:W3CDTF">2025-01-23T18:09:00Z</dcterms:modified>
</cp:coreProperties>
</file>